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0" w:rsidRPr="00976E78" w:rsidRDefault="00390848" w:rsidP="00501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Toc487702959"/>
      <w:bookmarkStart w:id="1" w:name="_GoBack"/>
      <w:bookmarkEnd w:id="1"/>
      <w:r w:rsidRPr="00976E78">
        <w:rPr>
          <w:rFonts w:ascii="Arial" w:hAnsi="Arial" w:cs="Arial"/>
          <w:b/>
          <w:sz w:val="24"/>
          <w:szCs w:val="24"/>
        </w:rPr>
        <w:t xml:space="preserve">IKS </w:t>
      </w:r>
      <w:r w:rsidR="006172B8" w:rsidRPr="00976E78">
        <w:rPr>
          <w:rFonts w:ascii="Arial" w:hAnsi="Arial" w:cs="Arial"/>
          <w:b/>
          <w:sz w:val="24"/>
          <w:szCs w:val="24"/>
        </w:rPr>
        <w:t>Grundlagenkonzept</w:t>
      </w:r>
      <w:r w:rsidR="00BA519C" w:rsidRPr="00976E78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BD566E" w:rsidRPr="00976E78">
        <w:rPr>
          <w:rFonts w:ascii="Arial" w:hAnsi="Arial" w:cs="Arial"/>
          <w:b/>
          <w:sz w:val="24"/>
          <w:szCs w:val="24"/>
        </w:rPr>
        <w:t>- Muster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8C00E2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Ausgan</w:t>
      </w:r>
      <w:r w:rsidR="001B2F43" w:rsidRPr="00976E78">
        <w:rPr>
          <w:rFonts w:ascii="Arial" w:hAnsi="Arial" w:cs="Arial"/>
          <w:b/>
        </w:rPr>
        <w:t>g</w:t>
      </w:r>
      <w:r w:rsidR="006A546E" w:rsidRPr="00976E78">
        <w:rPr>
          <w:rFonts w:ascii="Arial" w:hAnsi="Arial" w:cs="Arial"/>
          <w:b/>
        </w:rPr>
        <w:t>slage</w:t>
      </w:r>
    </w:p>
    <w:p w:rsidR="001E3032" w:rsidRPr="00976E78" w:rsidRDefault="001E3032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AA592D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Die Gemeinde </w:t>
      </w:r>
      <w:r w:rsidR="003651D4" w:rsidRPr="00976E78">
        <w:rPr>
          <w:rFonts w:ascii="Arial" w:hAnsi="Arial" w:cs="Arial"/>
          <w:highlight w:val="yellow"/>
        </w:rPr>
        <w:t>xxx</w:t>
      </w:r>
      <w:r w:rsidRPr="00976E78">
        <w:rPr>
          <w:rFonts w:ascii="Arial" w:hAnsi="Arial" w:cs="Arial"/>
        </w:rPr>
        <w:t xml:space="preserve"> soll – unter Berücksichtigung des Kosten-Nutzen-Verhältnisses – über ein zweckmässiges, risikoorientiertes internes Kontrollsystem (IKS) verfügen. </w:t>
      </w:r>
      <w:r w:rsidR="00107DBD" w:rsidRPr="00976E78">
        <w:rPr>
          <w:rFonts w:ascii="Arial" w:hAnsi="Arial" w:cs="Arial"/>
        </w:rPr>
        <w:t xml:space="preserve">Im Fokus des IKS stehen insbesondere die operativen Risiken der </w:t>
      </w:r>
      <w:r w:rsidRPr="00976E78">
        <w:rPr>
          <w:rFonts w:ascii="Arial" w:hAnsi="Arial" w:cs="Arial"/>
        </w:rPr>
        <w:t xml:space="preserve">wesentlichen </w:t>
      </w:r>
      <w:r w:rsidR="00107DBD" w:rsidRPr="00976E78">
        <w:rPr>
          <w:rFonts w:ascii="Arial" w:hAnsi="Arial" w:cs="Arial"/>
        </w:rPr>
        <w:t>finanzrelevanten Arbeitsprozesse.</w:t>
      </w:r>
      <w:r w:rsidR="004A315D" w:rsidRPr="00976E78">
        <w:rPr>
          <w:rFonts w:ascii="Arial" w:hAnsi="Arial" w:cs="Arial"/>
        </w:rPr>
        <w:t xml:space="preserve"> Der Gemeindevorstand definiert zusammen mit der für das IKS beauftragten Person die Anforderungen und stellt die notwendigen Kontrollen sicher, um das IKS wirksam zu betreiben.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6A546E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Ziele</w:t>
      </w:r>
    </w:p>
    <w:p w:rsidR="004079F7" w:rsidRPr="00976E78" w:rsidRDefault="004079F7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4079F7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Mit dem IKS sollen die folgenden Ziele erreicht werden:</w:t>
      </w:r>
    </w:p>
    <w:p w:rsidR="006A546E" w:rsidRPr="00976E78" w:rsidRDefault="006A546E" w:rsidP="0050184C">
      <w:pPr>
        <w:spacing w:after="0"/>
        <w:jc w:val="both"/>
        <w:rPr>
          <w:rFonts w:ascii="Arial" w:hAnsi="Arial" w:cs="Arial"/>
        </w:rPr>
      </w:pP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Vermögen schützen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Zweckmässige Verwendung der Finanzmittel sicherstellen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Fehler und Unregelmässigkeiten bei der Buchführung verhindern / aufdecken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Ordnungsmässigkeit der Rechnungslegung gewährleisten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Verlässliche Berichterstattung gewährleisten</w:t>
      </w: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3422A0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Damit soll ein möglicher Reputationsverlust oder sonstige Konsequenzen verhindert werden. Einen zusätzlichen Mehrwert bietet das IKS, indem es hilft, Schwachstellen aufzudecken und somit die </w:t>
      </w:r>
      <w:r w:rsidR="00E2737C" w:rsidRPr="00976E78">
        <w:rPr>
          <w:rFonts w:ascii="Arial" w:hAnsi="Arial" w:cs="Arial"/>
        </w:rPr>
        <w:t xml:space="preserve">finanzrelevanten </w:t>
      </w:r>
      <w:r w:rsidR="004079F7" w:rsidRPr="00976E78">
        <w:rPr>
          <w:rFonts w:ascii="Arial" w:hAnsi="Arial" w:cs="Arial"/>
        </w:rPr>
        <w:t>Arbeitsprozesse zu optimieren.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Das IKS trägt durch die Dokumentation der </w:t>
      </w:r>
      <w:r w:rsidR="004079F7" w:rsidRPr="00976E78">
        <w:rPr>
          <w:rFonts w:ascii="Arial" w:hAnsi="Arial" w:cs="Arial"/>
        </w:rPr>
        <w:t xml:space="preserve">wesentlichen finanzrelevanten </w:t>
      </w:r>
      <w:r w:rsidR="001618B3">
        <w:rPr>
          <w:rFonts w:ascii="Arial" w:hAnsi="Arial" w:cs="Arial"/>
        </w:rPr>
        <w:t>Arbeitsprozesse</w:t>
      </w:r>
      <w:r w:rsidR="004079F7" w:rsidRPr="00976E78">
        <w:rPr>
          <w:rFonts w:ascii="Arial" w:hAnsi="Arial" w:cs="Arial"/>
        </w:rPr>
        <w:t xml:space="preserve"> sowie deren </w:t>
      </w:r>
      <w:r w:rsidRPr="00976E78">
        <w:rPr>
          <w:rFonts w:ascii="Arial" w:hAnsi="Arial" w:cs="Arial"/>
        </w:rPr>
        <w:t>Risiken</w:t>
      </w:r>
      <w:r w:rsidR="004079F7" w:rsidRPr="00976E78">
        <w:rPr>
          <w:rFonts w:ascii="Arial" w:hAnsi="Arial" w:cs="Arial"/>
        </w:rPr>
        <w:t xml:space="preserve"> und definierten Kontrollen</w:t>
      </w:r>
      <w:r w:rsidRPr="00976E78">
        <w:rPr>
          <w:rFonts w:ascii="Arial" w:hAnsi="Arial" w:cs="Arial"/>
        </w:rPr>
        <w:t xml:space="preserve"> zu einer Kontinuität und Stabilität der </w:t>
      </w:r>
      <w:r w:rsidR="004079F7" w:rsidRPr="00976E78">
        <w:rPr>
          <w:rFonts w:ascii="Arial" w:hAnsi="Arial" w:cs="Arial"/>
        </w:rPr>
        <w:t>Arbeitsprozesse</w:t>
      </w:r>
      <w:r w:rsidRPr="00976E78">
        <w:rPr>
          <w:rFonts w:ascii="Arial" w:hAnsi="Arial" w:cs="Arial"/>
        </w:rPr>
        <w:t xml:space="preserve"> in der </w:t>
      </w:r>
      <w:r w:rsidR="004079F7" w:rsidRPr="00976E78">
        <w:rPr>
          <w:rFonts w:ascii="Arial" w:hAnsi="Arial" w:cs="Arial"/>
        </w:rPr>
        <w:t>Gemeindev</w:t>
      </w:r>
      <w:r w:rsidRPr="00976E78">
        <w:rPr>
          <w:rFonts w:ascii="Arial" w:hAnsi="Arial" w:cs="Arial"/>
        </w:rPr>
        <w:t>erwaltung bei. Schliesslich kann ein formalisiertes und dokumentie</w:t>
      </w:r>
      <w:r w:rsidR="004079F7" w:rsidRPr="00976E78">
        <w:rPr>
          <w:rFonts w:ascii="Arial" w:hAnsi="Arial" w:cs="Arial"/>
        </w:rPr>
        <w:t>rtes IKS den Wissenstransfer und Informationsfluss</w:t>
      </w:r>
      <w:r w:rsidRPr="00976E78">
        <w:rPr>
          <w:rFonts w:ascii="Arial" w:hAnsi="Arial" w:cs="Arial"/>
        </w:rPr>
        <w:t xml:space="preserve"> begünstigen.</w:t>
      </w: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Anwendungsbereich</w:t>
      </w: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2958" w:rsidRPr="00976E78" w:rsidRDefault="00E5053F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Das IKS umfasst die </w:t>
      </w:r>
      <w:r w:rsidR="006A2958" w:rsidRPr="00976E78">
        <w:rPr>
          <w:rFonts w:ascii="Arial" w:hAnsi="Arial" w:cs="Arial"/>
        </w:rPr>
        <w:t xml:space="preserve">folgenden </w:t>
      </w:r>
      <w:r w:rsidRPr="00976E78">
        <w:rPr>
          <w:rFonts w:ascii="Arial" w:hAnsi="Arial" w:cs="Arial"/>
        </w:rPr>
        <w:t>Abteilungen</w:t>
      </w:r>
      <w:r w:rsidR="006A2958" w:rsidRPr="00976E78">
        <w:rPr>
          <w:rFonts w:ascii="Arial" w:hAnsi="Arial" w:cs="Arial"/>
        </w:rPr>
        <w:t xml:space="preserve"> / Bereiche der Gemeinde:</w:t>
      </w:r>
    </w:p>
    <w:p w:rsidR="006A2958" w:rsidRDefault="006A2958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rFonts w:ascii="Arial" w:hAnsi="Arial" w:cs="Arial"/>
          <w:u w:val="single"/>
        </w:rPr>
      </w:pPr>
      <w:r w:rsidRPr="001A6C03">
        <w:rPr>
          <w:rFonts w:ascii="Arial" w:hAnsi="Arial" w:cs="Arial"/>
          <w:u w:val="single"/>
        </w:rPr>
        <w:t>Verwaltung im engeren Sinne</w:t>
      </w:r>
    </w:p>
    <w:p w:rsidR="001A6C03" w:rsidRPr="00976E78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480AA0">
        <w:rPr>
          <w:rFonts w:ascii="Arial" w:hAnsi="Arial" w:cs="Arial"/>
        </w:rPr>
        <w:t>Finanzen / Steuer</w:t>
      </w:r>
      <w:r w:rsidR="00480AA0">
        <w:rPr>
          <w:rFonts w:ascii="Arial" w:hAnsi="Arial" w:cs="Arial"/>
        </w:rPr>
        <w:t>n</w:t>
      </w:r>
    </w:p>
    <w:p w:rsidR="001618B3" w:rsidRP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480AA0">
        <w:rPr>
          <w:rFonts w:ascii="Arial" w:hAnsi="Arial" w:cs="Arial"/>
        </w:rPr>
        <w:t>Bauamt</w:t>
      </w:r>
    </w:p>
    <w:p w:rsidR="001A6C03" w:rsidRDefault="001618B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A6C03">
        <w:rPr>
          <w:rFonts w:ascii="Arial" w:hAnsi="Arial" w:cs="Arial"/>
        </w:rPr>
        <w:t>echnische Betriebe</w:t>
      </w:r>
    </w:p>
    <w:p w:rsidR="001A6C03" w:rsidRPr="00976E78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Gemeindekanzlei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rFonts w:ascii="Arial" w:hAnsi="Arial" w:cs="Arial"/>
          <w:u w:val="single"/>
        </w:rPr>
      </w:pPr>
      <w:r w:rsidRPr="001A6C03">
        <w:rPr>
          <w:rFonts w:ascii="Arial" w:hAnsi="Arial" w:cs="Arial"/>
          <w:u w:val="single"/>
        </w:rPr>
        <w:t>Ausgelagerte Betriebe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Forst</w:t>
      </w:r>
      <w:r w:rsidR="001618B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und Werkdienst</w:t>
      </w:r>
    </w:p>
    <w:p w:rsidR="004A315D" w:rsidRPr="001A6C03" w:rsidRDefault="00480AA0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Energiebetrieb</w:t>
      </w:r>
      <w:r w:rsidR="004A315D" w:rsidRPr="001A6C03">
        <w:rPr>
          <w:rFonts w:ascii="Arial" w:hAnsi="Arial" w:cs="Arial"/>
        </w:rPr>
        <w:br w:type="page"/>
      </w:r>
    </w:p>
    <w:p w:rsidR="00F312CC" w:rsidRPr="00976E78" w:rsidRDefault="00643CDB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lastRenderedPageBreak/>
        <w:t>Wesentliche f</w:t>
      </w:r>
      <w:r w:rsidR="00F312CC" w:rsidRPr="00976E78">
        <w:rPr>
          <w:rFonts w:ascii="Arial" w:hAnsi="Arial" w:cs="Arial"/>
          <w:b/>
        </w:rPr>
        <w:t>inanzrelevante Arbeitsprozesse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F312CC" w:rsidRPr="00976E78" w:rsidRDefault="006A2958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Im Fokus des IKS stehen die finanzrelevanten Tätigkeiten der folgenden Arbeitsprozesse:</w:t>
      </w:r>
    </w:p>
    <w:p w:rsidR="00F312CC" w:rsidRPr="00976E78" w:rsidRDefault="00F312CC" w:rsidP="0050184C">
      <w:pPr>
        <w:spacing w:after="0"/>
        <w:jc w:val="both"/>
        <w:rPr>
          <w:rFonts w:ascii="Arial" w:hAnsi="Arial" w:cs="Arial"/>
        </w:rPr>
      </w:pP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Zahlungen / Flüssige Mittel</w:t>
      </w:r>
    </w:p>
    <w:p w:rsidR="00F312CC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Leistungen und Lieferungen</w:t>
      </w:r>
      <w:r w:rsidR="00F312CC" w:rsidRPr="00976E78">
        <w:rPr>
          <w:rFonts w:ascii="Arial" w:hAnsi="Arial" w:cs="Arial"/>
        </w:rPr>
        <w:t xml:space="preserve"> / Debitoren / Inkasso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Leistungsbezug </w:t>
      </w:r>
      <w:r w:rsidR="00466394" w:rsidRPr="00976E78">
        <w:rPr>
          <w:rFonts w:ascii="Arial" w:hAnsi="Arial" w:cs="Arial"/>
        </w:rPr>
        <w:t>und</w:t>
      </w:r>
      <w:r w:rsidRPr="00976E78">
        <w:rPr>
          <w:rFonts w:ascii="Arial" w:hAnsi="Arial" w:cs="Arial"/>
        </w:rPr>
        <w:t xml:space="preserve"> Einkauf / Kreditoren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Personaladministration / Löhne</w:t>
      </w:r>
    </w:p>
    <w:p w:rsidR="00466394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Budgetierung / Finanzplanung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Rechnungslegung</w:t>
      </w:r>
      <w:r w:rsidR="00466394" w:rsidRPr="00976E78">
        <w:rPr>
          <w:rFonts w:ascii="Arial" w:hAnsi="Arial" w:cs="Arial"/>
        </w:rPr>
        <w:t xml:space="preserve"> / Berichterstattung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Projekte / </w:t>
      </w:r>
      <w:r w:rsidR="001A6C03">
        <w:rPr>
          <w:rFonts w:ascii="Arial" w:hAnsi="Arial" w:cs="Arial"/>
        </w:rPr>
        <w:t>K</w:t>
      </w:r>
      <w:r w:rsidR="00466394" w:rsidRPr="00976E78">
        <w:rPr>
          <w:rFonts w:ascii="Arial" w:hAnsi="Arial" w:cs="Arial"/>
        </w:rPr>
        <w:t>redite</w:t>
      </w:r>
    </w:p>
    <w:p w:rsidR="004A315D" w:rsidRPr="00976E78" w:rsidRDefault="004A315D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Risiko- und Kontrollinventar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Für die wesentlichen finanzrelevanten </w:t>
      </w:r>
      <w:r w:rsidR="007728E0">
        <w:rPr>
          <w:rFonts w:ascii="Arial" w:hAnsi="Arial" w:cs="Arial"/>
        </w:rPr>
        <w:t xml:space="preserve">Arbeitsprozesse </w:t>
      </w:r>
      <w:r w:rsidRPr="00976E78">
        <w:rPr>
          <w:rFonts w:ascii="Arial" w:hAnsi="Arial" w:cs="Arial"/>
        </w:rPr>
        <w:t>wird von der für das IKS beauftragten Person ein Risiko- und Kontrollinventar geführt. Es dokumentiert systematisch die Arbeitsprozesse, deren Risiken sowie die vom Gemeindevorstand festgelegten Kontrollen. Es wird regelmässig aktualisiert.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F312CC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I</w:t>
      </w:r>
      <w:r w:rsidR="00BD566E" w:rsidRPr="00976E78">
        <w:rPr>
          <w:rFonts w:ascii="Arial" w:hAnsi="Arial" w:cs="Arial"/>
          <w:b/>
        </w:rPr>
        <w:t>KS-Beauftragte</w:t>
      </w:r>
      <w:r w:rsidR="001A6C03">
        <w:rPr>
          <w:rFonts w:ascii="Arial" w:hAnsi="Arial" w:cs="Arial"/>
          <w:b/>
        </w:rPr>
        <w:t>/</w:t>
      </w:r>
      <w:r w:rsidR="00F312CC" w:rsidRPr="00976E78">
        <w:rPr>
          <w:rFonts w:ascii="Arial" w:hAnsi="Arial" w:cs="Arial"/>
          <w:b/>
        </w:rPr>
        <w:t>r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466394" w:rsidRPr="00976E78" w:rsidRDefault="00F312CC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 xml:space="preserve">Der Gemeindevorstand bestimmt </w:t>
      </w:r>
      <w:r w:rsidRPr="00976E78">
        <w:rPr>
          <w:rFonts w:ascii="Arial" w:hAnsi="Arial" w:cs="Arial"/>
          <w:highlight w:val="yellow"/>
        </w:rPr>
        <w:t>Vorname, Name, Funktion</w:t>
      </w:r>
      <w:r w:rsidRPr="00976E78">
        <w:rPr>
          <w:rFonts w:ascii="Arial" w:hAnsi="Arial" w:cs="Arial"/>
        </w:rPr>
        <w:t xml:space="preserve"> als </w:t>
      </w:r>
      <w:r w:rsidR="00BD566E" w:rsidRPr="00976E78">
        <w:rPr>
          <w:rFonts w:ascii="Arial" w:hAnsi="Arial" w:cs="Arial"/>
        </w:rPr>
        <w:t>für das IKS beauftragte Person</w:t>
      </w:r>
      <w:r w:rsidR="00976E78">
        <w:rPr>
          <w:rFonts w:ascii="Arial" w:hAnsi="Arial" w:cs="Arial"/>
        </w:rPr>
        <w:t xml:space="preserve"> der Gemeinde</w:t>
      </w:r>
      <w:r w:rsidR="00BD566E" w:rsidRPr="00976E78">
        <w:rPr>
          <w:rFonts w:ascii="Arial" w:hAnsi="Arial" w:cs="Arial"/>
        </w:rPr>
        <w:t xml:space="preserve">. </w:t>
      </w:r>
      <w:r w:rsidR="00BD566E" w:rsidRPr="00976E78">
        <w:rPr>
          <w:rFonts w:ascii="Arial" w:hAnsi="Arial" w:cs="Arial"/>
          <w:highlight w:val="yellow"/>
        </w:rPr>
        <w:t>Er/Sie</w:t>
      </w:r>
      <w:r w:rsidR="00466394" w:rsidRPr="00976E78">
        <w:rPr>
          <w:rFonts w:ascii="Arial" w:hAnsi="Arial" w:cs="Arial"/>
        </w:rPr>
        <w:t xml:space="preserve"> </w:t>
      </w:r>
      <w:r w:rsidRPr="00976E78">
        <w:rPr>
          <w:rFonts w:ascii="Arial" w:hAnsi="Arial" w:cs="Arial"/>
        </w:rPr>
        <w:t>führt und koordiniert das Projekt in der Aufbauphase, begleitet die Implementierung</w:t>
      </w:r>
      <w:r w:rsidR="00466394" w:rsidRPr="00976E78">
        <w:rPr>
          <w:rFonts w:ascii="Arial" w:hAnsi="Arial" w:cs="Arial"/>
        </w:rPr>
        <w:t xml:space="preserve"> und ist für einen wirkungsvollen Betrieb verantwortlich. Zur Sicherstellung der Wirksamkeit des IKS </w:t>
      </w:r>
      <w:r w:rsidR="00BD566E" w:rsidRPr="00976E78">
        <w:rPr>
          <w:rFonts w:ascii="Arial" w:hAnsi="Arial" w:cs="Arial"/>
        </w:rPr>
        <w:t xml:space="preserve">führt die für das IKS beauftragte Person </w:t>
      </w:r>
      <w:r w:rsidR="00466394" w:rsidRPr="00976E78">
        <w:rPr>
          <w:rFonts w:ascii="Arial" w:hAnsi="Arial" w:cs="Arial"/>
        </w:rPr>
        <w:t>jährlich ein</w:t>
      </w:r>
      <w:r w:rsidR="00BD566E" w:rsidRPr="00976E78">
        <w:rPr>
          <w:rFonts w:ascii="Arial" w:hAnsi="Arial" w:cs="Arial"/>
        </w:rPr>
        <w:t>e interne Überprüfung durch und</w:t>
      </w:r>
      <w:r w:rsidR="00466394" w:rsidRPr="00976E78">
        <w:rPr>
          <w:rFonts w:ascii="Arial" w:hAnsi="Arial" w:cs="Arial"/>
        </w:rPr>
        <w:t xml:space="preserve"> </w:t>
      </w:r>
      <w:r w:rsidR="00BD566E" w:rsidRPr="00976E78">
        <w:rPr>
          <w:rFonts w:ascii="Arial" w:hAnsi="Arial" w:cs="Arial"/>
        </w:rPr>
        <w:t xml:space="preserve">erstellt </w:t>
      </w:r>
      <w:r w:rsidR="00976E78">
        <w:rPr>
          <w:rFonts w:ascii="Arial" w:hAnsi="Arial" w:cs="Arial"/>
        </w:rPr>
        <w:t>für den Gemeindevorstand</w:t>
      </w:r>
      <w:r w:rsidR="00466394" w:rsidRPr="00976E78">
        <w:rPr>
          <w:rFonts w:ascii="Arial" w:hAnsi="Arial" w:cs="Arial"/>
        </w:rPr>
        <w:t xml:space="preserve"> </w:t>
      </w:r>
      <w:r w:rsidR="00BD566E" w:rsidRPr="00976E78">
        <w:rPr>
          <w:rFonts w:ascii="Arial" w:hAnsi="Arial" w:cs="Arial"/>
        </w:rPr>
        <w:t>einen IKS-Bericht.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  <w:b/>
        </w:rPr>
      </w:pPr>
      <w:r w:rsidRPr="00976E78">
        <w:rPr>
          <w:rFonts w:ascii="Arial" w:hAnsi="Arial" w:cs="Arial"/>
          <w:b/>
        </w:rPr>
        <w:t>Inkraftsetzung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F17263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Dieses Grundlagenkonzept wurde</w:t>
      </w:r>
      <w:r w:rsidR="006172B8" w:rsidRPr="00976E78">
        <w:rPr>
          <w:rFonts w:ascii="Arial" w:hAnsi="Arial" w:cs="Arial"/>
        </w:rPr>
        <w:t xml:space="preserve"> </w:t>
      </w:r>
      <w:r w:rsidR="00976E78" w:rsidRPr="00976E78">
        <w:rPr>
          <w:rFonts w:ascii="Arial" w:hAnsi="Arial" w:cs="Arial"/>
        </w:rPr>
        <w:t xml:space="preserve">am </w:t>
      </w:r>
      <w:r w:rsidR="00976E78" w:rsidRPr="00976E78">
        <w:rPr>
          <w:rFonts w:ascii="Arial" w:hAnsi="Arial" w:cs="Arial"/>
          <w:highlight w:val="yellow"/>
        </w:rPr>
        <w:t>xxx</w:t>
      </w:r>
      <w:r w:rsidR="00976E78" w:rsidRPr="00976E78">
        <w:rPr>
          <w:rFonts w:ascii="Arial" w:hAnsi="Arial" w:cs="Arial"/>
        </w:rPr>
        <w:t xml:space="preserve"> </w:t>
      </w:r>
      <w:r w:rsidR="006172B8" w:rsidRPr="00976E78">
        <w:rPr>
          <w:rFonts w:ascii="Arial" w:hAnsi="Arial" w:cs="Arial"/>
        </w:rPr>
        <w:t>vom Gemeindevorstand genehmigt.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  <w:r w:rsidRPr="00976E78">
        <w:rPr>
          <w:rFonts w:ascii="Arial" w:hAnsi="Arial" w:cs="Arial"/>
        </w:rPr>
        <w:t>Ort, Datum</w:t>
      </w:r>
      <w:r w:rsidR="00F17263" w:rsidRPr="00976E78">
        <w:rPr>
          <w:rFonts w:ascii="Arial" w:hAnsi="Arial" w:cs="Arial"/>
        </w:rPr>
        <w:t>, Unterschriften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sectPr w:rsidR="006172B8" w:rsidRPr="00976E78" w:rsidSect="006A2958">
      <w:foot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B8" w:rsidRDefault="006172B8" w:rsidP="00D666E3">
      <w:pPr>
        <w:spacing w:after="0" w:line="240" w:lineRule="auto"/>
      </w:pPr>
      <w:r>
        <w:separator/>
      </w:r>
    </w:p>
  </w:endnote>
  <w:end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E3" w:rsidRPr="00115C52" w:rsidRDefault="00D666E3" w:rsidP="00D666E3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 w:rsidRPr="00115C52">
      <w:rPr>
        <w:rFonts w:ascii="Arial" w:hAnsi="Arial" w:cs="Arial"/>
        <w:sz w:val="16"/>
        <w:szCs w:val="16"/>
      </w:rPr>
      <w:fldChar w:fldCharType="begin"/>
    </w:r>
    <w:r w:rsidRPr="00115C52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115C52">
      <w:rPr>
        <w:rFonts w:ascii="Arial" w:hAnsi="Arial" w:cs="Arial"/>
        <w:sz w:val="16"/>
        <w:szCs w:val="16"/>
      </w:rPr>
      <w:fldChar w:fldCharType="separate"/>
    </w:r>
    <w:r w:rsidR="00EC1D6F">
      <w:rPr>
        <w:rFonts w:ascii="Arial" w:hAnsi="Arial" w:cs="Arial"/>
        <w:noProof/>
        <w:sz w:val="16"/>
        <w:szCs w:val="16"/>
      </w:rPr>
      <w:t>IKS Grundlagenkonzept - Muster.docx</w:t>
    </w:r>
    <w:r w:rsidRPr="00115C5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B8" w:rsidRDefault="006172B8" w:rsidP="00D666E3">
      <w:pPr>
        <w:spacing w:after="0" w:line="240" w:lineRule="auto"/>
      </w:pPr>
      <w:r>
        <w:separator/>
      </w:r>
    </w:p>
  </w:footnote>
  <w:foot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427"/>
    <w:multiLevelType w:val="hybridMultilevel"/>
    <w:tmpl w:val="0432412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539"/>
    <w:multiLevelType w:val="hybridMultilevel"/>
    <w:tmpl w:val="343E8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0B5C"/>
    <w:multiLevelType w:val="hybridMultilevel"/>
    <w:tmpl w:val="EBB06DDA"/>
    <w:lvl w:ilvl="0" w:tplc="E6C6D9F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40AF8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A06E6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740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C424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C5004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A10F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17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B6897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D16"/>
    <w:multiLevelType w:val="hybridMultilevel"/>
    <w:tmpl w:val="6B5644B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4BD"/>
    <w:multiLevelType w:val="hybridMultilevel"/>
    <w:tmpl w:val="E9365B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10406"/>
    <w:multiLevelType w:val="hybridMultilevel"/>
    <w:tmpl w:val="F544E0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1D18"/>
    <w:multiLevelType w:val="hybridMultilevel"/>
    <w:tmpl w:val="B2B8D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3717"/>
    <w:multiLevelType w:val="hybridMultilevel"/>
    <w:tmpl w:val="55CAA5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031A"/>
    <w:multiLevelType w:val="hybridMultilevel"/>
    <w:tmpl w:val="3BFEEC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B1D4F"/>
    <w:multiLevelType w:val="multilevel"/>
    <w:tmpl w:val="5798C66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B8"/>
    <w:rsid w:val="00080023"/>
    <w:rsid w:val="00096B32"/>
    <w:rsid w:val="000A3459"/>
    <w:rsid w:val="000C6C8F"/>
    <w:rsid w:val="000E56C7"/>
    <w:rsid w:val="00107DBD"/>
    <w:rsid w:val="00115C52"/>
    <w:rsid w:val="001300B6"/>
    <w:rsid w:val="001618B3"/>
    <w:rsid w:val="00186760"/>
    <w:rsid w:val="00191920"/>
    <w:rsid w:val="001A6C03"/>
    <w:rsid w:val="001B247C"/>
    <w:rsid w:val="001B2F43"/>
    <w:rsid w:val="001C68D9"/>
    <w:rsid w:val="001D19B7"/>
    <w:rsid w:val="001D2624"/>
    <w:rsid w:val="001E3032"/>
    <w:rsid w:val="0022528D"/>
    <w:rsid w:val="002307D5"/>
    <w:rsid w:val="0026261C"/>
    <w:rsid w:val="00263333"/>
    <w:rsid w:val="00274F17"/>
    <w:rsid w:val="0027622F"/>
    <w:rsid w:val="00277EBF"/>
    <w:rsid w:val="00283EBD"/>
    <w:rsid w:val="00306334"/>
    <w:rsid w:val="00323DC9"/>
    <w:rsid w:val="003422A0"/>
    <w:rsid w:val="003651D4"/>
    <w:rsid w:val="003777EE"/>
    <w:rsid w:val="003864F0"/>
    <w:rsid w:val="00390848"/>
    <w:rsid w:val="004079F7"/>
    <w:rsid w:val="00466394"/>
    <w:rsid w:val="00480AA0"/>
    <w:rsid w:val="004A315D"/>
    <w:rsid w:val="004B37FD"/>
    <w:rsid w:val="004C5A82"/>
    <w:rsid w:val="004D1E49"/>
    <w:rsid w:val="004D2C46"/>
    <w:rsid w:val="0050184C"/>
    <w:rsid w:val="00531A4C"/>
    <w:rsid w:val="00535D26"/>
    <w:rsid w:val="0055023F"/>
    <w:rsid w:val="005E6375"/>
    <w:rsid w:val="006172B8"/>
    <w:rsid w:val="00643CDB"/>
    <w:rsid w:val="00680E2E"/>
    <w:rsid w:val="006A2958"/>
    <w:rsid w:val="006A546E"/>
    <w:rsid w:val="006A6E3A"/>
    <w:rsid w:val="006D2D08"/>
    <w:rsid w:val="006E43F9"/>
    <w:rsid w:val="00737D15"/>
    <w:rsid w:val="007728E0"/>
    <w:rsid w:val="00813394"/>
    <w:rsid w:val="00831460"/>
    <w:rsid w:val="00843283"/>
    <w:rsid w:val="00880E22"/>
    <w:rsid w:val="008C00E2"/>
    <w:rsid w:val="008C3B4F"/>
    <w:rsid w:val="008F1280"/>
    <w:rsid w:val="00974DC8"/>
    <w:rsid w:val="00976E78"/>
    <w:rsid w:val="009E1EF1"/>
    <w:rsid w:val="00A035BD"/>
    <w:rsid w:val="00A63FC0"/>
    <w:rsid w:val="00A861E3"/>
    <w:rsid w:val="00AA592D"/>
    <w:rsid w:val="00AD09B4"/>
    <w:rsid w:val="00AD36D2"/>
    <w:rsid w:val="00AF31CC"/>
    <w:rsid w:val="00B15B57"/>
    <w:rsid w:val="00B64267"/>
    <w:rsid w:val="00BA519C"/>
    <w:rsid w:val="00BC3C7D"/>
    <w:rsid w:val="00BD566E"/>
    <w:rsid w:val="00BD7C61"/>
    <w:rsid w:val="00C17B60"/>
    <w:rsid w:val="00C27D77"/>
    <w:rsid w:val="00C36009"/>
    <w:rsid w:val="00C43825"/>
    <w:rsid w:val="00C9019E"/>
    <w:rsid w:val="00D10200"/>
    <w:rsid w:val="00D11EDE"/>
    <w:rsid w:val="00D26154"/>
    <w:rsid w:val="00D666E3"/>
    <w:rsid w:val="00D75BC1"/>
    <w:rsid w:val="00D75D0E"/>
    <w:rsid w:val="00D86129"/>
    <w:rsid w:val="00DA6280"/>
    <w:rsid w:val="00DB2153"/>
    <w:rsid w:val="00DD0F6E"/>
    <w:rsid w:val="00DD3C28"/>
    <w:rsid w:val="00E1267F"/>
    <w:rsid w:val="00E2737C"/>
    <w:rsid w:val="00E5053F"/>
    <w:rsid w:val="00E800FA"/>
    <w:rsid w:val="00E86EB0"/>
    <w:rsid w:val="00EC1D6F"/>
    <w:rsid w:val="00EE4C1F"/>
    <w:rsid w:val="00F17263"/>
    <w:rsid w:val="00F312CC"/>
    <w:rsid w:val="00F42732"/>
    <w:rsid w:val="00F771EB"/>
    <w:rsid w:val="00FA0561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ADF076-B6BE-4E7B-B345-73FC4B0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2B8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35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5BD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6E3"/>
  </w:style>
  <w:style w:type="paragraph" w:styleId="Fuzeile">
    <w:name w:val="footer"/>
    <w:basedOn w:val="Standard"/>
    <w:link w:val="Fu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6E3"/>
  </w:style>
  <w:style w:type="character" w:customStyle="1" w:styleId="berschrift2Zchn">
    <w:name w:val="Überschrift 2 Zchn"/>
    <w:basedOn w:val="Absatz-Standardschriftart"/>
    <w:link w:val="berschrift2"/>
    <w:uiPriority w:val="9"/>
    <w:rsid w:val="00A035BD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35BD"/>
    <w:rPr>
      <w:rFonts w:eastAsiaTheme="majorEastAsia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172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7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5B52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2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3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1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578FB715-CD0B-4307-A668-52154C19AB7A}"/>
</file>

<file path=customXml/itemProps2.xml><?xml version="1.0" encoding="utf-8"?>
<ds:datastoreItem xmlns:ds="http://schemas.openxmlformats.org/officeDocument/2006/customXml" ds:itemID="{545BA999-82A5-4376-80DE-1592A058A2D6}"/>
</file>

<file path=customXml/itemProps3.xml><?xml version="1.0" encoding="utf-8"?>
<ds:datastoreItem xmlns:ds="http://schemas.openxmlformats.org/officeDocument/2006/customXml" ds:itemID="{87D8F7D5-FC46-47A7-8471-B2B2247EF55C}"/>
</file>

<file path=customXml/itemProps4.xml><?xml version="1.0" encoding="utf-8"?>
<ds:datastoreItem xmlns:ds="http://schemas.openxmlformats.org/officeDocument/2006/customXml" ds:itemID="{6CAE2DDF-560C-4BD5-AAE9-ED9FDE29F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IKS Grundlagenkonzept - Muster</dc:title>
  <dc:creator>Wüst Daniel</dc:creator>
  <cp:lastModifiedBy>Wüst Daniel</cp:lastModifiedBy>
  <cp:revision>95</cp:revision>
  <cp:lastPrinted>2021-09-08T12:52:00Z</cp:lastPrinted>
  <dcterms:created xsi:type="dcterms:W3CDTF">2017-07-13T09:32:00Z</dcterms:created>
  <dcterms:modified xsi:type="dcterms:W3CDTF">2021-09-08T12:52:00Z</dcterms:modified>
  <cp:category>IKS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